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300" w:line="765" w:lineRule="atLeast"/>
        <w:outlineLvl w:val="0"/>
        <w:rPr>
          <w:rFonts w:ascii="Merriweather" w:eastAsia="Times New Roman" w:hAnsi="Merriweather" w:cs="Times New Roman"/>
          <w:b/>
          <w:bCs/>
          <w:color w:val="1B1D2D"/>
          <w:kern w:val="36"/>
          <w:sz w:val="59"/>
          <w:szCs w:val="59"/>
        </w:rPr>
      </w:pPr>
      <w:r>
        <w:rPr>
          <w:rFonts w:ascii="Merriweather" w:eastAsia="Times New Roman" w:hAnsi="Merriweather" w:cs="Times New Roman"/>
          <w:b/>
          <w:bCs/>
          <w:color w:val="1B1D2D"/>
          <w:kern w:val="36"/>
          <w:sz w:val="59"/>
          <w:szCs w:val="59"/>
        </w:rPr>
        <w:t>Chính sách mới có hiệu lực từ tháng 3/2026</w:t>
      </w:r>
    </w:p>
    <w:p>
      <w:pPr>
        <w:shd w:val="clear" w:color="auto" w:fill="FFFFFF"/>
        <w:spacing w:after="0" w:line="340" w:lineRule="atLeast"/>
        <w:outlineLvl w:val="1"/>
        <w:rPr>
          <w:rFonts w:ascii="Inter" w:eastAsia="Times New Roman" w:hAnsi="Inter" w:cs="Times New Roman"/>
          <w:color w:val="555555"/>
          <w:sz w:val="24"/>
          <w:szCs w:val="24"/>
        </w:rPr>
      </w:pPr>
      <w:r>
        <w:rPr>
          <w:rFonts w:ascii="Inter" w:eastAsia="Times New Roman" w:hAnsi="Inter" w:cs="Times New Roman"/>
          <w:color w:val="555555"/>
          <w:sz w:val="24"/>
          <w:szCs w:val="24"/>
        </w:rPr>
        <w:t>Tháng 3/2026 có nhiều chính sách mới có hiệu lực, nổi bật là các quy định liên quan đến bất động sản; cư trú; tài khoản ngân hàng…</w:t>
      </w:r>
    </w:p>
    <w:p>
      <w:pPr>
        <w:shd w:val="clear" w:color="auto" w:fill="FFFFFF"/>
        <w:spacing w:after="0" w:line="340" w:lineRule="atLeast"/>
        <w:outlineLvl w:val="1"/>
        <w:rPr>
          <w:rFonts w:ascii="NotoSerif" w:eastAsia="Times New Roman" w:hAnsi="NotoSerif" w:cs="Times New Roman"/>
          <w:b/>
          <w:bCs/>
          <w:color w:val="333333"/>
          <w:sz w:val="36"/>
          <w:szCs w:val="36"/>
        </w:rPr>
      </w:pPr>
      <w:r>
        <w:rPr>
          <w:rFonts w:ascii="NotoSerif" w:eastAsia="Times New Roman" w:hAnsi="NotoSerif" w:cs="Times New Roman"/>
          <w:b/>
          <w:bCs/>
          <w:color w:val="333333"/>
          <w:sz w:val="36"/>
          <w:szCs w:val="36"/>
        </w:rPr>
        <w:t>3 hình thức khai thác, sử dụng thông tin về nhà ở và thị trường bất động sản</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Chính phủ ban hành Nghị định số </w:t>
      </w:r>
      <w:hyperlink r:id="rId5" w:tgtFrame="_blank" w:tooltip="357/2025/NĐ-CP" w:history="1">
        <w:r>
          <w:rPr>
            <w:rFonts w:ascii="NotoSerif" w:eastAsia="Times New Roman" w:hAnsi="NotoSerif" w:cs="Times New Roman"/>
            <w:color w:val="0000FF"/>
            <w:sz w:val="26"/>
            <w:szCs w:val="26"/>
          </w:rPr>
          <w:t>357/2025/NĐ-CP</w:t>
        </w:r>
      </w:hyperlink>
      <w:r>
        <w:rPr>
          <w:rFonts w:ascii="NotoSerif" w:eastAsia="Times New Roman" w:hAnsi="NotoSerif" w:cs="Times New Roman"/>
          <w:color w:val="333333"/>
          <w:sz w:val="26"/>
          <w:szCs w:val="26"/>
        </w:rPr>
        <w:t> ngày 31/12/2025 quy định về xây dựng và quản lý hệ thống thông tin, cơ sở dữ liệu về nhà ở và thị trường bất động sản.</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Nghị định quy định các hình thức khai thác, sử dụng thông tin về nhà ở và thị trường bất động sản bao gồm:</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Khai thác, sử dụng trực tiếp thông qua Cổng thông tin của hệ thống thông tin về nhà ở và thị trường bất động sản;</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Khai thác, sử dụng qua kết nối, chia sẻ dữ liệu trực tuyến giữa các hệ thống thông tin;</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Khai thác, sử dụng qua việc gửi văn bản đến cơ quan có thẩm quyền.</w:t>
      </w:r>
    </w:p>
    <w:p>
      <w:pPr>
        <w:shd w:val="clear" w:color="auto" w:fill="FFFFFF"/>
        <w:tabs>
          <w:tab w:val="left" w:pos="5184"/>
        </w:tabs>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Quy định trên có hiệu lực từ ngày 1/3/2026.</w:t>
      </w:r>
      <w:r>
        <w:rPr>
          <w:rFonts w:ascii="NotoSerif" w:eastAsia="Times New Roman" w:hAnsi="NotoSerif" w:cs="Times New Roman"/>
          <w:color w:val="333333"/>
          <w:sz w:val="26"/>
          <w:szCs w:val="26"/>
        </w:rPr>
        <w:tab/>
      </w:r>
    </w:p>
    <w:p>
      <w:pPr>
        <w:shd w:val="clear" w:color="auto" w:fill="FFFFFF"/>
        <w:spacing w:after="0" w:line="340" w:lineRule="atLeast"/>
        <w:outlineLvl w:val="1"/>
        <w:rPr>
          <w:rFonts w:ascii="NotoSerif" w:eastAsia="Times New Roman" w:hAnsi="NotoSerif" w:cs="Times New Roman"/>
          <w:b/>
          <w:bCs/>
          <w:color w:val="333333"/>
          <w:sz w:val="36"/>
          <w:szCs w:val="36"/>
        </w:rPr>
      </w:pPr>
      <w:r>
        <w:rPr>
          <w:rFonts w:ascii="NotoSerif" w:eastAsia="Times New Roman" w:hAnsi="NotoSerif" w:cs="Times New Roman"/>
          <w:b/>
          <w:bCs/>
          <w:color w:val="333333"/>
          <w:sz w:val="36"/>
          <w:szCs w:val="36"/>
        </w:rPr>
        <w:t>Quy định mới về đăng ký cư trú cho người chưa thành niên từ 15/3</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Nghị định số </w:t>
      </w:r>
      <w:hyperlink r:id="rId6" w:tgtFrame="_blank" w:tooltip="58/2026/NĐ-CP" w:history="1">
        <w:r>
          <w:rPr>
            <w:rFonts w:ascii="NotoSerif" w:eastAsia="Times New Roman" w:hAnsi="NotoSerif" w:cs="Times New Roman"/>
            <w:color w:val="0000FF"/>
            <w:sz w:val="26"/>
            <w:szCs w:val="26"/>
          </w:rPr>
          <w:t>58/2026/NĐ-CP</w:t>
        </w:r>
      </w:hyperlink>
      <w:r>
        <w:rPr>
          <w:rFonts w:ascii="NotoSerif" w:eastAsia="Times New Roman" w:hAnsi="NotoSerif" w:cs="Times New Roman"/>
          <w:color w:val="333333"/>
          <w:sz w:val="26"/>
          <w:szCs w:val="26"/>
        </w:rPr>
        <w:t> của Chính phủ đã sửa đổi, bổ sung một số quy định về đăng ký cư trú cho người chưa thành niên.</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Theo quy định mới, trường hợp người chưa thành niên đăng ký thường trú, đăng ký tạm trú tại nơi thường trú, nơi tạm trú của cha, mẹ hoặc cha hoặc mẹ hoặc người giám hộ thì cha hoặc mẹ hoặc người giám hộ thực hiện kê khai, xác nhận ý kiến vào Tờ khai thay đổi thông tin cư trú.</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Trường hợp người chưa thành niên đăng ký thường trú, đăng ký tạm trú tại nơi thường trú, nơi tạm trú không phải là nơi thường trú, nơi tạm trú 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Nghị định số 58/2026/NĐ-CP có hiệu lực từ ngày 15/3/2026.</w:t>
      </w:r>
    </w:p>
    <w:p>
      <w:pPr>
        <w:shd w:val="clear" w:color="auto" w:fill="FFFFFF"/>
        <w:spacing w:after="0" w:line="340" w:lineRule="atLeast"/>
        <w:outlineLvl w:val="1"/>
        <w:rPr>
          <w:rFonts w:ascii="NotoSerif" w:eastAsia="Times New Roman" w:hAnsi="NotoSerif" w:cs="Times New Roman"/>
          <w:b/>
          <w:bCs/>
          <w:color w:val="333333"/>
          <w:sz w:val="36"/>
          <w:szCs w:val="36"/>
        </w:rPr>
      </w:pPr>
      <w:r>
        <w:rPr>
          <w:rFonts w:ascii="NotoSerif" w:eastAsia="Times New Roman" w:hAnsi="NotoSerif" w:cs="Times New Roman"/>
          <w:b/>
          <w:bCs/>
          <w:color w:val="333333"/>
          <w:sz w:val="36"/>
          <w:szCs w:val="36"/>
        </w:rPr>
        <w:t>Quỹ từ thiện phải công khai thu chi hằng năm trước ngày 31/3</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Có hiệu lực từ 01/3/2026, Nghị định </w:t>
      </w:r>
      <w:hyperlink r:id="rId7" w:tgtFrame="_blank" w:tooltip="03/2026/NĐ-CP" w:history="1">
        <w:r>
          <w:rPr>
            <w:rFonts w:ascii="NotoSerif" w:eastAsia="Times New Roman" w:hAnsi="NotoSerif" w:cs="Times New Roman"/>
            <w:color w:val="0000FF"/>
            <w:sz w:val="26"/>
            <w:szCs w:val="26"/>
          </w:rPr>
          <w:t>03/2026/NĐ-CP</w:t>
        </w:r>
      </w:hyperlink>
      <w:r>
        <w:rPr>
          <w:rFonts w:ascii="NotoSerif" w:eastAsia="Times New Roman" w:hAnsi="NotoSerif" w:cs="Times New Roman"/>
          <w:color w:val="333333"/>
          <w:sz w:val="26"/>
          <w:szCs w:val="26"/>
        </w:rPr>
        <w:t> của Chính phủ quy định quỹ xã hội, quỹ từ thiện có nghĩa vụ công khai các khoản đóng góp, tài sản đã tiếp nhận và kết quả sử dụng trên phương tiện thông tin đại chúng trước ngày 31/3 hằng năm.</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xml:space="preserve">Đồng thời, Quỹ hoạt động trong lĩnh vực nào thì chịu sự quản lý của cơ quan nhà nước về ngành, lĩnh vực đó và chỉ thực hiện tài trợ, hỗ trợ trong phạm vi hoạt động theo điều </w:t>
      </w:r>
      <w:r>
        <w:rPr>
          <w:rFonts w:ascii="NotoSerif" w:eastAsia="Times New Roman" w:hAnsi="NotoSerif" w:cs="Times New Roman"/>
          <w:color w:val="333333"/>
          <w:sz w:val="26"/>
          <w:szCs w:val="26"/>
        </w:rPr>
        <w:lastRenderedPageBreak/>
        <w:t>lệ, trừ trường hợp tham gia hỗ trợ khắc phục khó khăn do thiên tai, dịch bệnh, hỏa hoạn, sự cố nghiêm trọng, khẩn cấp.</w:t>
      </w:r>
    </w:p>
    <w:p>
      <w:pPr>
        <w:shd w:val="clear" w:color="auto" w:fill="FFFFFF"/>
        <w:spacing w:after="0" w:line="340" w:lineRule="atLeast"/>
        <w:outlineLvl w:val="1"/>
        <w:rPr>
          <w:rFonts w:ascii="NotoSerif" w:eastAsia="Times New Roman" w:hAnsi="NotoSerif" w:cs="Times New Roman"/>
          <w:b/>
          <w:bCs/>
          <w:color w:val="333333"/>
          <w:sz w:val="36"/>
          <w:szCs w:val="36"/>
        </w:rPr>
      </w:pPr>
      <w:r>
        <w:rPr>
          <w:rFonts w:ascii="NotoSerif" w:eastAsia="Times New Roman" w:hAnsi="NotoSerif" w:cs="Times New Roman"/>
          <w:b/>
          <w:bCs/>
          <w:color w:val="333333"/>
          <w:sz w:val="36"/>
          <w:szCs w:val="36"/>
        </w:rPr>
        <w:t>Sửa đổi, bổ sung quy định về trình tự cấp Giấy phép lập Văn phòng đại diện của các tổ chức hợp tác, nghiên cứu nước ngoài tại Việt Nam</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Chính phủ ban hành Nghị định số </w:t>
      </w:r>
      <w:hyperlink r:id="rId8" w:tgtFrame="_blank" w:tooltip="62/2026/NĐ-CP" w:history="1">
        <w:r>
          <w:rPr>
            <w:rFonts w:ascii="NotoSerif" w:eastAsia="Times New Roman" w:hAnsi="NotoSerif" w:cs="Times New Roman"/>
            <w:color w:val="0000FF"/>
            <w:sz w:val="26"/>
            <w:szCs w:val="26"/>
          </w:rPr>
          <w:t>62/2026/NĐ-CP</w:t>
        </w:r>
      </w:hyperlink>
      <w:r>
        <w:rPr>
          <w:rFonts w:ascii="NotoSerif" w:eastAsia="Times New Roman" w:hAnsi="NotoSerif" w:cs="Times New Roman"/>
          <w:color w:val="333333"/>
          <w:sz w:val="26"/>
          <w:szCs w:val="26"/>
        </w:rPr>
        <w:t> sửa đổi, bổ sung một số điều của Nghị định số 06/2005/NĐ-CP ngày 19/01/2005 của Chính phủ về việc lập và hoạt động của Văn phòng đại diện của các tổ chức hợp tác, nghiên cứu của nước ngoài tại Việt Nam (Văn phòng đại diện). Nghị định này có hiệu lực từ ngày 1/3/2026.</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Nghị định số 62/2026/NĐ-CP sửa đổi, bổ sung khoản 1, 2 Điều 8 Nghị định số 06/2005/NĐ-CP về trình tự cấp Giấy phép. Cụ thể:</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1. Bộ Ngoại giao gửi hồ sơ đề nghị lập Văn phòng đại diện của tổ chức nước ngoài cho Cơ quan chủ quản phía Việt Nam, các bộ, cơ quan liên quan, Ủy ban nhân dân tỉnh, thành phố trực thuộc trung ương nơi tổ chức nước ngoài dự kiến đặt Văn phòng đại diện:</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a) Ủy ban nhân dân tỉnh, thành phố trực thuộc trung ương cho ý kiến về tình hình hoạt động của tổ chức nước ngoài tại địa phương nơi tổ chức nước ngoài dự kiến đặt trụ sở Văn phòng đại diện;</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b) Bộ, cơ quan liên quan cho ý kiến về tình hình hoạt động của tổ chức nước ngoài có các chương trình, dự án thuộc phạm vi theo dõi của bộ, cơ quan;</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 Cơ quan chủ quản phía Việt Nam cho ý kiến về đề nghị lập Văn phòng đại diện của tổ chức nước ngoài;</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d) Bộ Công an cho ý kiến đối với người dự kiến làm Trưởng Văn phòng đại diện tại Việt Nam.</w:t>
      </w:r>
    </w:p>
    <w:p>
      <w:pPr>
        <w:shd w:val="clear" w:color="auto" w:fill="FFFFFF"/>
        <w:spacing w:after="0" w:line="340" w:lineRule="atLeast"/>
        <w:outlineLvl w:val="1"/>
        <w:rPr>
          <w:rFonts w:ascii="NotoSerif" w:eastAsia="Times New Roman" w:hAnsi="NotoSerif" w:cs="Times New Roman"/>
          <w:b/>
          <w:bCs/>
          <w:color w:val="333333"/>
          <w:sz w:val="36"/>
          <w:szCs w:val="36"/>
        </w:rPr>
      </w:pPr>
      <w:r>
        <w:rPr>
          <w:rFonts w:ascii="NotoSerif" w:eastAsia="Times New Roman" w:hAnsi="NotoSerif" w:cs="Times New Roman"/>
          <w:b/>
          <w:bCs/>
          <w:color w:val="333333"/>
          <w:sz w:val="36"/>
          <w:szCs w:val="36"/>
        </w:rPr>
        <w:t>Từ 8/3, sử dụng tài liệu lưu trữ để bôi nhọ, xúc phạm cá nhân bị phạt hành chính đến 30 triệu đồng</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Chính phủ ban hành Nghị định số </w:t>
      </w:r>
      <w:hyperlink r:id="rId9" w:tgtFrame="_blank" w:tooltip="31/2026/NĐ-CP" w:history="1">
        <w:r>
          <w:rPr>
            <w:rFonts w:ascii="NotoSerif" w:eastAsia="Times New Roman" w:hAnsi="NotoSerif" w:cs="Times New Roman"/>
            <w:color w:val="0000FF"/>
            <w:sz w:val="26"/>
            <w:szCs w:val="26"/>
          </w:rPr>
          <w:t>31/2026/NĐ-CP</w:t>
        </w:r>
      </w:hyperlink>
      <w:r>
        <w:rPr>
          <w:rFonts w:ascii="NotoSerif" w:eastAsia="Times New Roman" w:hAnsi="NotoSerif" w:cs="Times New Roman"/>
          <w:color w:val="333333"/>
          <w:sz w:val="26"/>
          <w:szCs w:val="26"/>
        </w:rPr>
        <w:t> ngày 21/01/2026 quy định xử phạt vi phạm hành chính trong lĩnh vực lưu trữ.</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Đối với vi phạm quy định về các hành vi bị nghiêm cấm trong lĩnh vực lưu trữ, Nghị định quy định phạt tiền từ 20 đến 30 triệu đồng đối với một trong các hành vi vi phạm sau đây:</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a) Truy cập, sao chép, chia sẻ trái phép tài liệu lưu trữ, cơ sở dữ liệu tài liệu lưu trữ mà chưa đến mức truy cứu trách nhiệm hình sự;</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b) Cung cấp, chuyển giao, hủy tài liệu lưu trữ trái phép hoặc mua bán, chiếm đoạt tài liệu lưu trữ mà chưa đến mức truy cứu trách nhiệm hình sự;</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 Làm sai lệch nội dung, làm mất tính toàn vẹn của tài liệu lưu trữ và dữ liệu chủ của tài liệu lưu trữ mà chưa đến mức truy cứu trách nhiệm hình sự;</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d) Làm hỏng tài liệu lưu trữ đến mức không thể khôi phục được;</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đ) Làm mất tài liệu lưu trữ;</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e) Sử dụng tài liệu lưu trữ vào mục đích bịa đặt, bôi nhọ, xúc phạm nhân phẩm, danh dự của cá nhân mà chưa đến mức truy cứu trách nhiệm hình sự.</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Quy định trên có hiệu lực từ ngày 8/3/2026.</w:t>
      </w:r>
    </w:p>
    <w:p>
      <w:pPr>
        <w:shd w:val="clear" w:color="auto" w:fill="FFFFFF"/>
        <w:spacing w:after="0" w:line="340" w:lineRule="atLeast"/>
        <w:outlineLvl w:val="2"/>
        <w:rPr>
          <w:rFonts w:ascii="NotoSerif" w:eastAsia="Times New Roman" w:hAnsi="NotoSerif" w:cs="Times New Roman"/>
          <w:b/>
          <w:bCs/>
          <w:color w:val="333333"/>
          <w:sz w:val="27"/>
          <w:szCs w:val="27"/>
        </w:rPr>
      </w:pPr>
      <w:r>
        <w:rPr>
          <w:rFonts w:ascii="NotoSerif" w:eastAsia="Times New Roman" w:hAnsi="NotoSerif" w:cs="Times New Roman"/>
          <w:b/>
          <w:bCs/>
          <w:color w:val="333333"/>
          <w:sz w:val="27"/>
          <w:szCs w:val="27"/>
        </w:rPr>
        <w:lastRenderedPageBreak/>
        <w:t>Vi phạm hành chính trong hoạt động đường bộ bị phạt tới 150 triệu đồng từ ngày 1/3/2026</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Chính phủ ban hành Nghị định số </w:t>
      </w:r>
      <w:hyperlink r:id="rId10" w:tgtFrame="_blank" w:tooltip="336/2025/NĐ-CP" w:history="1">
        <w:r>
          <w:rPr>
            <w:rFonts w:ascii="NotoSerif" w:eastAsia="Times New Roman" w:hAnsi="NotoSerif" w:cs="Times New Roman"/>
            <w:color w:val="0000FF"/>
            <w:sz w:val="26"/>
            <w:szCs w:val="26"/>
          </w:rPr>
          <w:t>336/2025/NĐ-CP</w:t>
        </w:r>
      </w:hyperlink>
      <w:r>
        <w:rPr>
          <w:rFonts w:ascii="NotoSerif" w:eastAsia="Times New Roman" w:hAnsi="NotoSerif" w:cs="Times New Roman"/>
          <w:color w:val="333333"/>
          <w:sz w:val="26"/>
          <w:szCs w:val="26"/>
        </w:rPr>
        <w:t> quy định mức phạt tiền tối đa trong hoạt động đường bộ thuộc lĩnh vực giao thông đường bộ đối với cá nhân là 75.000.000 đồng và đối với tổ chức là 150.000.000 đồng.</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Cụ thể, đối với các hành vi vi phạm quy định về sử dụng, khai thác trong phạm vi đất dành cho kết cấu hạ tầng đường bộ bị phạt từ 500.000 đồng đến 20.000.000 đồng.</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Hành vi vi phạm quy định về quản lý, vận hành, khai thác, bảo trì công trình hạ tầng kỹ thuật sử dụng chung với đường bộ bị phạt từ 6.000.000 đồng đến 15.000.000 đồng.</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Xử phạt từ 1.000.000 đồng đến 20.000.000 đồng đối với các hành vi vi phạm quy định về thi công trong phạm vi bảo vệ kết cấu hạ tầng đường bộ.</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Xử phạt từ 100.000 đồng đến 5.000.000 đồng đối với hành vi vi phạm quy định về quản lý, khai thác, bảo trì, bảo vệ kết cấu hạ tầng đường bộ.</w:t>
      </w:r>
    </w:p>
    <w:p>
      <w:pPr>
        <w:shd w:val="clear" w:color="auto" w:fill="FFFFFF"/>
        <w:spacing w:after="0" w:line="34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Nghị định số 336/2025/NĐ-CP có hiệu lực từ n</w:t>
      </w:r>
      <w:bookmarkStart w:id="0" w:name="_GoBack"/>
      <w:bookmarkEnd w:id="0"/>
      <w:r>
        <w:rPr>
          <w:rFonts w:ascii="NotoSerif" w:eastAsia="Times New Roman" w:hAnsi="NotoSerif" w:cs="Times New Roman"/>
          <w:color w:val="333333"/>
          <w:sz w:val="26"/>
          <w:szCs w:val="26"/>
        </w:rPr>
        <w:t>gày 1/3/2026.</w:t>
      </w:r>
    </w:p>
    <w:p>
      <w:pPr>
        <w:shd w:val="clear" w:color="auto" w:fill="FFFFFF"/>
        <w:spacing w:after="0" w:line="450" w:lineRule="atLeast"/>
        <w:rPr>
          <w:rFonts w:ascii="NotoSerif" w:eastAsia="Times New Roman" w:hAnsi="NotoSerif" w:cs="Times New Roman"/>
          <w:color w:val="333333"/>
          <w:sz w:val="26"/>
          <w:szCs w:val="26"/>
        </w:rPr>
      </w:pPr>
      <w:r>
        <w:rPr>
          <w:rFonts w:ascii="NotoSerif" w:eastAsia="Times New Roman" w:hAnsi="NotoSerif" w:cs="Times New Roman"/>
          <w:noProof/>
          <w:color w:val="0000FF"/>
          <w:sz w:val="26"/>
          <w:szCs w:val="26"/>
        </w:rPr>
        <w:lastRenderedPageBreak/>
        <w:drawing>
          <wp:inline distT="0" distB="0" distL="0" distR="0">
            <wp:extent cx="12565380" cy="7848600"/>
            <wp:effectExtent l="0" t="0" r="7620" b="0"/>
            <wp:docPr id="1" name="Picture 1" descr="Chính sách mới có hiệu lực từ tháng 3/2026- Ảnh 2.">
              <a:hlinkClick xmlns:a="http://schemas.openxmlformats.org/drawingml/2006/main" r:id="rId11"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52027142158360576" descr="Chính sách mới có hiệu lực từ tháng 3/2026- Ảnh 2.">
                      <a:hlinkClick r:id="rId11" tgtFrame="&quot;_blank&quot;"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5380" cy="7848600"/>
                    </a:xfrm>
                    <a:prstGeom prst="rect">
                      <a:avLst/>
                    </a:prstGeom>
                    <a:noFill/>
                    <a:ln>
                      <a:noFill/>
                    </a:ln>
                  </pic:spPr>
                </pic:pic>
              </a:graphicData>
            </a:graphic>
          </wp:inline>
        </w:drawing>
      </w:r>
    </w:p>
    <w:p>
      <w:pPr>
        <w:shd w:val="clear" w:color="auto" w:fill="FFFFFF"/>
        <w:spacing w:after="0" w:line="450" w:lineRule="atLeast"/>
        <w:rPr>
          <w:rFonts w:ascii="NotoSerif" w:eastAsia="Times New Roman" w:hAnsi="NotoSerif" w:cs="Times New Roman"/>
          <w:color w:val="333333"/>
          <w:sz w:val="26"/>
          <w:szCs w:val="26"/>
        </w:rPr>
      </w:pPr>
      <w:r>
        <w:rPr>
          <w:rFonts w:ascii="NotoSerif" w:eastAsia="Times New Roman" w:hAnsi="NotoSerif" w:cs="Times New Roman"/>
          <w:b/>
          <w:bCs/>
          <w:color w:val="333333"/>
          <w:sz w:val="45"/>
          <w:szCs w:val="45"/>
        </w:rPr>
        <w:t>Trường hợp được xóa hoặc miễn chi phí bồi hoàn học bổng và chi phí đào tạo từ 26/3/2026</w:t>
      </w:r>
    </w:p>
    <w:p>
      <w:pPr>
        <w:shd w:val="clear" w:color="auto" w:fill="FFFFFF"/>
        <w:spacing w:after="0"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Chính phủ ban hành Nghị định số </w:t>
      </w:r>
      <w:hyperlink r:id="rId13" w:tgtFrame="_blank" w:tooltip="51/2026/NĐ-CP" w:history="1">
        <w:r>
          <w:rPr>
            <w:rFonts w:ascii="NotoSerif" w:eastAsia="Times New Roman" w:hAnsi="NotoSerif" w:cs="Times New Roman"/>
            <w:color w:val="0000FF"/>
            <w:sz w:val="26"/>
            <w:szCs w:val="26"/>
          </w:rPr>
          <w:t>51/2026/NĐ-CP</w:t>
        </w:r>
      </w:hyperlink>
      <w:r>
        <w:rPr>
          <w:rFonts w:ascii="NotoSerif" w:eastAsia="Times New Roman" w:hAnsi="NotoSerif" w:cs="Times New Roman"/>
          <w:color w:val="333333"/>
          <w:sz w:val="26"/>
          <w:szCs w:val="26"/>
        </w:rPr>
        <w:t> ngày 02/02/2026 sửa đổi, bổ sung một số điều của Nghị định số 143/2013/NĐ-CP ngày 24/10/2013 của Chính phủ quy định về bồi hoàn học bổng và chi phí đào tạo.</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lastRenderedPageBreak/>
        <w:t>Trong đó, Nghị định số 51/2026/NĐ-CP bổ sung Điều 7a về xóa hoặc miễn chi phí bồi hoàn học bổng và chi phí đào tạo (sau đây gọi chung là chi phí đào tạo) đối với người học chương trình giáo dục cao đẳng, đại học, thạc sĩ, tiến sĩ được hưởng học bổng và chi phí đào tạo từ nguồn ngân sách nhà nước hoặc do nước ngoài tài trợ theo Hiệp định ký kết với nhà nước Việt Nam mà không chấp hành sự điều động làm việc của cơ quan nhà nước có thẩm quyền sau khi tốt nghiệp.</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Nghị định quy định trường hợp người học được xóa hoặc miễn chi phí bồi hoàn:</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a) Xóa chi phí bồi hoàn trong trường hợp người học đã chết hoặc bị Tòa án tuyên bố là đã chết theo quy định của pháp luật;</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b) Miễn chi phí bồi hoàn một trong các trường hợp sau:</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Người học được cơ sở y tế có thẩm quyền xác nhận không đủ sức khỏe để làm việc;</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Người học chấp hành nghĩa vụ làm việc chưa đủ thời gian theo quy định nhưng sau đó được cơ quan có thẩm quyền quyết định điều động, luân chuyển, biệt phái hoặc chuyển công tác đến vị trí khác;</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Người học do nguyên nhân khách quan, bất khả kháng nên không thể chấp hành sự điều động làm việc của cơ quan nhà nước có thẩm quyền. Cơ quan nhà nước có thẩm quyền quyết định việc bồi hoàn xem xét, quyết định việc miễn chi phí bồi hoàn đối với trường hợp này.</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Nghị định trên có hiệu lực từ ngày 26/3/2026.</w:t>
      </w:r>
    </w:p>
    <w:p>
      <w:pPr>
        <w:shd w:val="clear" w:color="auto" w:fill="FFFFFF"/>
        <w:spacing w:after="0" w:line="450" w:lineRule="atLeast"/>
        <w:outlineLvl w:val="1"/>
        <w:rPr>
          <w:rFonts w:ascii="NotoSerif" w:eastAsia="Times New Roman" w:hAnsi="NotoSerif" w:cs="Times New Roman"/>
          <w:b/>
          <w:bCs/>
          <w:color w:val="333333"/>
          <w:sz w:val="36"/>
          <w:szCs w:val="36"/>
        </w:rPr>
      </w:pPr>
      <w:r>
        <w:rPr>
          <w:rFonts w:ascii="NotoSerif" w:eastAsia="Times New Roman" w:hAnsi="NotoSerif" w:cs="Times New Roman"/>
          <w:b/>
          <w:bCs/>
          <w:color w:val="333333"/>
          <w:sz w:val="36"/>
          <w:szCs w:val="36"/>
        </w:rPr>
        <w:t>Từ 1/3, tài khoản ngân hàng của hộ kinh doanh phải đúng tên đăng ký</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Từ ngày 1/3/2026, theo quy định mới của Ngân hàng Nhà nước, tài khoản ngân hàng phục vụ hoạt động kinh doanh của hộ kinh doanh phải đúng tên đăng ký trên giấy chứng nhận. </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Cụ thể, theo Thông tư 25/2025/TT-NHNN của Ngân hàng Nhà nước Việt Nam, sửa đổi, bổ sung một số điều của Thông tư 17/2024/TT-NHNN, việc đặt tên tài khoản thanh toán được quy định cụ thể hơn đối với từng đối tượng sử dụng.</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lastRenderedPageBreak/>
        <w:t>Thông tư 25/2025/TT-NHNN bổ sung điểm c khoản 1 điều 13 Thông tư 17, quy định đối với tài khoản thanh toán cá nhân, tên tài khoản phải trùng khớp với họ và tên trên giấy tờ tùy thân của khách hàng. Đối với tài khoản thanh toán của tổ chức, tên tài khoản bắt buộc phải bao gồm tên tổ chức theo giấy phép thành lập, quyết định thành lập, giấy chứng nhận đăng ký doanh nghiệp hoặc giấy tờ chứng minh tổ chức được thành lập và hoạt động hợp pháp.</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Với quy định này, từ ngày 1/3, tài khoản ngân hàng phải được mở và đứng tên đúng theo giấy chứng nhận đăng ký hộ kinh doanh.</w:t>
      </w:r>
    </w:p>
    <w:p>
      <w:pPr>
        <w:shd w:val="clear" w:color="auto" w:fill="FFFFFF"/>
        <w:spacing w:after="0" w:line="450" w:lineRule="atLeast"/>
        <w:outlineLvl w:val="1"/>
        <w:rPr>
          <w:rFonts w:ascii="NotoSerif" w:eastAsia="Times New Roman" w:hAnsi="NotoSerif" w:cs="Times New Roman"/>
          <w:b/>
          <w:bCs/>
          <w:color w:val="333333"/>
          <w:sz w:val="36"/>
          <w:szCs w:val="36"/>
        </w:rPr>
      </w:pPr>
      <w:r>
        <w:rPr>
          <w:rFonts w:ascii="NotoSerif" w:eastAsia="Times New Roman" w:hAnsi="NotoSerif" w:cs="Times New Roman"/>
          <w:b/>
          <w:bCs/>
          <w:color w:val="333333"/>
          <w:sz w:val="36"/>
          <w:szCs w:val="36"/>
        </w:rPr>
        <w:t>3 trường hợp mobile banking tự ngừng hoạt động từ ngày 1/3/2026</w:t>
      </w:r>
    </w:p>
    <w:p>
      <w:pPr>
        <w:shd w:val="clear" w:color="auto" w:fill="FFFFFF"/>
        <w:spacing w:after="0"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Thông tư </w:t>
      </w:r>
      <w:hyperlink r:id="rId14" w:tgtFrame="_blank" w:tooltip="77/2025/TT-NHNN " w:history="1">
        <w:r>
          <w:rPr>
            <w:rFonts w:ascii="NotoSerif" w:eastAsia="Times New Roman" w:hAnsi="NotoSerif" w:cs="Times New Roman"/>
            <w:color w:val="0000FF"/>
            <w:sz w:val="26"/>
            <w:szCs w:val="26"/>
          </w:rPr>
          <w:t>77/2025/TT-NHNN </w:t>
        </w:r>
      </w:hyperlink>
      <w:r>
        <w:rPr>
          <w:rFonts w:ascii="NotoSerif" w:eastAsia="Times New Roman" w:hAnsi="NotoSerif" w:cs="Times New Roman"/>
          <w:color w:val="333333"/>
          <w:sz w:val="26"/>
          <w:szCs w:val="26"/>
        </w:rPr>
        <w:t>của Ngân hàng Nhà nước sửa đổi, bổ sung một số điều của Thông tư 50/2024/TT-NHNN về an toàn, bảo mật cho việc cung cấp dịch vụ trực tuyến trong ngành Ngân hàng có hiệu lực từ ngày 1/3/2026.</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Theo đó, để tránh sự tấn công của mã độc từ bên ngoài, Thông tư 77/2025/TT-NHNN yêu cầu ứng dụng này phải tự động ngắt kết nối hoặc ngừng hoạt động ngay lập tức nếu phát hiện điện thoại thuộc trường hợp:</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Điện thoại đã bị bẻ khóa (jailbreak với iOS, root với Android) hoặc bị can thiệp mở khóa cơ chế bảo vệ khởi động (unlock bootloader). Người dùng thường sử dụng thao tác này khi muốn cài đặt ứng dụng không chính thống hoặc né bản quyền.</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Điện thoại đã bị chèn mã lạ từ bên ngoài nhằm theo dõi, lưu lại lịch sử thao tác… hoặc đã bị chỉnh sửa, đóng gói lại (repacking)</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Điện thoại có gắn trình gỡ lỗi (debugger), hoặc chạy ứng dụng trên các môi trường giả lập (emulator), máy ảo, thiết bị giả lập…</w:t>
      </w:r>
    </w:p>
    <w:p>
      <w:pPr>
        <w:shd w:val="clear" w:color="auto" w:fill="FFFFFF"/>
        <w:spacing w:after="0" w:line="450" w:lineRule="atLeast"/>
        <w:outlineLvl w:val="1"/>
        <w:rPr>
          <w:rFonts w:ascii="NotoSerif" w:eastAsia="Times New Roman" w:hAnsi="NotoSerif" w:cs="Times New Roman"/>
          <w:b/>
          <w:bCs/>
          <w:color w:val="333333"/>
          <w:sz w:val="36"/>
          <w:szCs w:val="36"/>
        </w:rPr>
      </w:pPr>
      <w:r>
        <w:rPr>
          <w:rFonts w:ascii="NotoSerif" w:eastAsia="Times New Roman" w:hAnsi="NotoSerif" w:cs="Times New Roman"/>
          <w:b/>
          <w:bCs/>
          <w:color w:val="333333"/>
          <w:sz w:val="36"/>
          <w:szCs w:val="36"/>
        </w:rPr>
        <w:t>Quy định các đối tượng được miễn nộp phí lĩnh vực đường sắt</w:t>
      </w:r>
    </w:p>
    <w:p>
      <w:pPr>
        <w:shd w:val="clear" w:color="auto" w:fill="FFFFFF"/>
        <w:spacing w:after="0"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Thông tư </w:t>
      </w:r>
      <w:hyperlink r:id="rId15" w:tgtFrame="_blank" w:tooltip="11/2026/TT-BTC" w:history="1">
        <w:r>
          <w:rPr>
            <w:rFonts w:ascii="NotoSerif" w:eastAsia="Times New Roman" w:hAnsi="NotoSerif" w:cs="Times New Roman"/>
            <w:color w:val="0000FF"/>
            <w:sz w:val="26"/>
            <w:szCs w:val="26"/>
          </w:rPr>
          <w:t>11/2026/TT-BTC</w:t>
        </w:r>
      </w:hyperlink>
      <w:r>
        <w:rPr>
          <w:rFonts w:ascii="NotoSerif" w:eastAsia="Times New Roman" w:hAnsi="NotoSerif" w:cs="Times New Roman"/>
          <w:color w:val="333333"/>
          <w:sz w:val="26"/>
          <w:szCs w:val="26"/>
        </w:rPr>
        <w:t xml:space="preserve"> của Bộ Tài chính có hiệu lực từ ngày 27/3/2026 quy định các đối tượng được miễn nộp phí lĩnh vực đường sắt bao gồm: (1) Miễn phí sử dụng kết cấu hạ tầng đường sắt quốc gia do Nhà nước đầu tư đối với doanh nghiệp kinh doanh </w:t>
      </w:r>
      <w:r>
        <w:rPr>
          <w:rFonts w:ascii="NotoSerif" w:eastAsia="Times New Roman" w:hAnsi="NotoSerif" w:cs="Times New Roman"/>
          <w:color w:val="333333"/>
          <w:sz w:val="26"/>
          <w:szCs w:val="26"/>
        </w:rPr>
        <w:lastRenderedPageBreak/>
        <w:t>vận tải đường sắt sử dụng kết cấu hạ tầng đường sắt quốc gia do Nhà nước đầu tư phục vụ cho các mục đích sau đây:</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Kiểm tra, sửa chữa, bảo trì kết cấu hạ tầng đường sắt.</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Phục vụ phòng chống lụt bão và cứu hộ, cứu nạn đường sắt.</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Phục vụ nhu cầu quốc phòng và an ninh quốc gia.</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Phục vụ nhiệm vụ vận tải đặc biệt, vận tải phục vụ an sinh xã hội theo quy định của pháp luật về đường sắt.</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(2) Miễn phí sát hạch lái tàu đối với các đối tượng sau:</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Người thuộc hộ nghèo theo quy định của pháp luật về chuẩn nghèo.</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Người có công với cách mạng theo quy định của pháp luật về ưu đãi người có công với cách mạng.</w:t>
      </w:r>
    </w:p>
    <w:p>
      <w:pPr>
        <w:shd w:val="clear" w:color="auto" w:fill="FFFFFF"/>
        <w:spacing w:before="233" w:after="233" w:line="450" w:lineRule="atLeast"/>
        <w:rPr>
          <w:rFonts w:ascii="NotoSerif" w:eastAsia="Times New Roman" w:hAnsi="NotoSerif" w:cs="Times New Roman"/>
          <w:color w:val="333333"/>
          <w:sz w:val="26"/>
          <w:szCs w:val="26"/>
        </w:rPr>
      </w:pPr>
      <w:r>
        <w:rPr>
          <w:rFonts w:ascii="NotoSerif" w:eastAsia="Times New Roman" w:hAnsi="NotoSerif" w:cs="Times New Roman"/>
          <w:color w:val="333333"/>
          <w:sz w:val="26"/>
          <w:szCs w:val="26"/>
        </w:rPr>
        <w:t>- Đồng bào dân tộc thiểu số ở các xã đặc biệt khó khăn theo quy định của pháp luật.</w:t>
      </w:r>
    </w:p>
    <w:p/>
    <w:sectPr>
      <w:pgSz w:w="11907" w:h="16840" w:code="9"/>
      <w:pgMar w:top="1077" w:right="1021" w:bottom="96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Inter">
    <w:altName w:val="Times New Roman"/>
    <w:panose1 w:val="00000000000000000000"/>
    <w:charset w:val="00"/>
    <w:family w:val="roman"/>
    <w:notTrueType/>
    <w:pitch w:val="default"/>
  </w:font>
  <w:font w:name="Noto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eading2Char">
    <w:name w:val="Heading 2 Char"/>
    <w:basedOn w:val="DefaultParagraphFont"/>
    <w:link w:val="Heading2"/>
    <w:uiPriority w:val="9"/>
    <w:rPr>
      <w:rFonts w:eastAsia="Times New Roman" w:cs="Times New Roman"/>
      <w:b/>
      <w:bCs/>
      <w:sz w:val="36"/>
      <w:szCs w:val="36"/>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eading2Char">
    <w:name w:val="Heading 2 Char"/>
    <w:basedOn w:val="DefaultParagraphFont"/>
    <w:link w:val="Heading2"/>
    <w:uiPriority w:val="9"/>
    <w:rPr>
      <w:rFonts w:eastAsia="Times New Roman" w:cs="Times New Roman"/>
      <w:b/>
      <w:bCs/>
      <w:sz w:val="36"/>
      <w:szCs w:val="36"/>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5298">
      <w:bodyDiv w:val="1"/>
      <w:marLeft w:val="0"/>
      <w:marRight w:val="0"/>
      <w:marTop w:val="0"/>
      <w:marBottom w:val="0"/>
      <w:divBdr>
        <w:top w:val="none" w:sz="0" w:space="0" w:color="auto"/>
        <w:left w:val="none" w:sz="0" w:space="0" w:color="auto"/>
        <w:bottom w:val="none" w:sz="0" w:space="0" w:color="auto"/>
        <w:right w:val="none" w:sz="0" w:space="0" w:color="auto"/>
      </w:divBdr>
      <w:divsChild>
        <w:div w:id="1040127953">
          <w:marLeft w:val="0"/>
          <w:marRight w:val="0"/>
          <w:marTop w:val="0"/>
          <w:marBottom w:val="450"/>
          <w:divBdr>
            <w:top w:val="single" w:sz="6" w:space="12" w:color="E6E6E6"/>
            <w:left w:val="none" w:sz="0" w:space="0" w:color="auto"/>
            <w:bottom w:val="none" w:sz="0" w:space="0" w:color="auto"/>
            <w:right w:val="none" w:sz="0" w:space="0" w:color="auto"/>
          </w:divBdr>
          <w:divsChild>
            <w:div w:id="528832336">
              <w:marLeft w:val="0"/>
              <w:marRight w:val="0"/>
              <w:marTop w:val="0"/>
              <w:marBottom w:val="0"/>
              <w:divBdr>
                <w:top w:val="none" w:sz="0" w:space="0" w:color="auto"/>
                <w:left w:val="none" w:sz="0" w:space="0" w:color="auto"/>
                <w:bottom w:val="none" w:sz="0" w:space="0" w:color="auto"/>
                <w:right w:val="none" w:sz="0" w:space="0" w:color="auto"/>
              </w:divBdr>
              <w:divsChild>
                <w:div w:id="12008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2753">
          <w:marLeft w:val="0"/>
          <w:marRight w:val="0"/>
          <w:marTop w:val="0"/>
          <w:marBottom w:val="0"/>
          <w:divBdr>
            <w:top w:val="none" w:sz="0" w:space="0" w:color="auto"/>
            <w:left w:val="none" w:sz="0" w:space="0" w:color="auto"/>
            <w:bottom w:val="none" w:sz="0" w:space="0" w:color="auto"/>
            <w:right w:val="none" w:sz="0" w:space="0" w:color="auto"/>
          </w:divBdr>
          <w:divsChild>
            <w:div w:id="1001201396">
              <w:marLeft w:val="0"/>
              <w:marRight w:val="0"/>
              <w:marTop w:val="0"/>
              <w:marBottom w:val="0"/>
              <w:divBdr>
                <w:top w:val="none" w:sz="0" w:space="0" w:color="auto"/>
                <w:left w:val="none" w:sz="0" w:space="0" w:color="auto"/>
                <w:bottom w:val="none" w:sz="0" w:space="0" w:color="auto"/>
                <w:right w:val="none" w:sz="0" w:space="0" w:color="auto"/>
              </w:divBdr>
            </w:div>
            <w:div w:id="1166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pageid=27160&amp;docid=216980" TargetMode="External"/><Relationship Id="rId13" Type="http://schemas.openxmlformats.org/officeDocument/2006/relationships/hyperlink" Target="https://vanban.chinhphu.vn/?pageid=27160&amp;docid=216866" TargetMode="External"/><Relationship Id="rId3" Type="http://schemas.openxmlformats.org/officeDocument/2006/relationships/settings" Target="settings.xml"/><Relationship Id="rId7" Type="http://schemas.openxmlformats.org/officeDocument/2006/relationships/hyperlink" Target="https://vanban.chinhphu.vn/?pageid=27160&amp;docid=216622" TargetMode="External"/><Relationship Id="rId12" Type="http://schemas.openxmlformats.org/officeDocument/2006/relationships/image" Target="media/image1.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anban.chinhphu.vn/?pageid=27160&amp;docid=216977" TargetMode="External"/><Relationship Id="rId11" Type="http://schemas.openxmlformats.org/officeDocument/2006/relationships/hyperlink" Target="https://bcp.cdnchinhphu.vn/334894974524682240/2026/2/28/68be97f908dcb36fd59bcb07-17722449558782003282274.jpg" TargetMode="External"/><Relationship Id="rId5" Type="http://schemas.openxmlformats.org/officeDocument/2006/relationships/hyperlink" Target="https://vanban.chinhphu.vn/?pageid=27160&amp;docid=216395" TargetMode="External"/><Relationship Id="rId15" Type="http://schemas.openxmlformats.org/officeDocument/2006/relationships/hyperlink" Target="https://vanban.chinhphu.vn/?pageid=27160&amp;docid=216933" TargetMode="External"/><Relationship Id="rId10" Type="http://schemas.openxmlformats.org/officeDocument/2006/relationships/hyperlink" Target="https://vanban.chinhphu.vn/?pageid=27160&amp;docid=216275" TargetMode="External"/><Relationship Id="rId4" Type="http://schemas.openxmlformats.org/officeDocument/2006/relationships/webSettings" Target="webSettings.xml"/><Relationship Id="rId9" Type="http://schemas.openxmlformats.org/officeDocument/2006/relationships/hyperlink" Target="https://vanban.chinhphu.vn/?pageid=27160&amp;docid=216730" TargetMode="External"/><Relationship Id="rId14" Type="http://schemas.openxmlformats.org/officeDocument/2006/relationships/hyperlink" Target="https://vanban.chinhphu.vn/?pageid=27160&amp;docid=216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2026-03-27T09:18:00Z</dcterms:created>
  <dcterms:modified xsi:type="dcterms:W3CDTF">2026-03-27T09:19:00Z</dcterms:modified>
</cp:coreProperties>
</file>